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88" w:type="dxa"/>
        <w:jc w:val="start"/>
        <w:tblInd w:w="7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166"/>
        <w:gridCol w:w="6422"/>
      </w:tblGrid>
      <w:tr>
        <w:trPr/>
        <w:tc>
          <w:tcPr>
            <w:tcW w:w="8166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422" w:type="dxa"/>
            <w:tcBorders/>
          </w:tcPr>
          <w:p>
            <w:pPr>
              <w:pStyle w:val="Normal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 №1</w:t>
            </w:r>
            <w:r>
              <w:rPr>
                <w:sz w:val="28"/>
                <w:szCs w:val="28"/>
                <w:lang w:val="ru-RU"/>
              </w:rPr>
              <w:t>.1</w:t>
            </w:r>
          </w:p>
          <w:p>
            <w:pPr>
              <w:pStyle w:val="Normal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к </w:t>
            </w:r>
            <w:r>
              <w:rPr>
                <w:rFonts w:eastAsia="Times New Roman"/>
                <w:sz w:val="28"/>
                <w:szCs w:val="28"/>
                <w:lang w:val="ru-RU"/>
              </w:rPr>
              <w:t>муниципальной программе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</w:p>
          <w:p>
            <w:pPr>
              <w:pStyle w:val="Normal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муниципального образования </w:t>
            </w:r>
          </w:p>
          <w:p>
            <w:pPr>
              <w:pStyle w:val="Normal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Северский </w:t>
            </w:r>
            <w:r>
              <w:rPr>
                <w:rFonts w:eastAsia="Times New Roman"/>
                <w:sz w:val="28"/>
                <w:szCs w:val="28"/>
                <w:lang w:val="ru-RU"/>
              </w:rPr>
              <w:t xml:space="preserve">муниципальный </w:t>
            </w:r>
            <w:r>
              <w:rPr>
                <w:rFonts w:eastAsia="Times New Roman"/>
                <w:sz w:val="28"/>
                <w:szCs w:val="28"/>
              </w:rPr>
              <w:t xml:space="preserve">район </w:t>
            </w:r>
          </w:p>
          <w:p>
            <w:pPr>
              <w:pStyle w:val="Normal"/>
              <w:rPr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Краснодарского края «Управление муниципальными финансами»</w:t>
            </w:r>
          </w:p>
          <w:p>
            <w:pPr>
              <w:pStyle w:val="Normal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</w:tc>
      </w:tr>
    </w:tbl>
    <w:p>
      <w:pPr>
        <w:pStyle w:val="Normal"/>
        <w:widowControl/>
        <w:numPr>
          <w:ilvl w:val="0"/>
          <w:numId w:val="0"/>
        </w:numPr>
        <w:suppressAutoHyphens w:val="false"/>
        <w:autoSpaceDE w:val="false"/>
        <w:spacing w:before="108" w:after="108"/>
        <w:ind w:hanging="0" w:start="0" w:end="0"/>
        <w:jc w:val="center"/>
        <w:outlineLvl w:val="0"/>
        <w:rPr>
          <w:rFonts w:eastAsia="Times New Roman"/>
        </w:rPr>
      </w:pPr>
      <w:r>
        <w:rPr>
          <w:rFonts w:eastAsia="Times New Roman"/>
          <w:b/>
          <w:bCs/>
          <w:color w:val="26282F"/>
          <w:kern w:val="0"/>
          <w:sz w:val="28"/>
          <w:szCs w:val="28"/>
          <w:lang w:val="ru-RU" w:eastAsia="ru-RU"/>
        </w:rPr>
        <w:t>Сведения</w:t>
        <w:br/>
        <w:t>о порядке сбора информации и методике расчета целевых показателей муниципальной программы</w:t>
      </w:r>
    </w:p>
    <w:p>
      <w:pPr>
        <w:pStyle w:val="Normal"/>
        <w:jc w:val="center"/>
        <w:rPr>
          <w:sz w:val="28"/>
          <w:szCs w:val="28"/>
          <w:lang w:val="ru-RU"/>
        </w:rPr>
      </w:pPr>
      <w:r>
        <w:rPr>
          <w:rFonts w:eastAsia="Times New Roman"/>
        </w:rPr>
        <w:t xml:space="preserve">                        </w:t>
      </w:r>
      <w:r>
        <w:rPr>
          <w:rFonts w:eastAsia="Times New Roman"/>
          <w:sz w:val="28"/>
          <w:szCs w:val="28"/>
          <w:lang w:val="ru-RU"/>
        </w:rPr>
        <w:t>«</w:t>
      </w:r>
      <w:r>
        <w:rPr>
          <w:b/>
          <w:bCs/>
          <w:sz w:val="28"/>
          <w:szCs w:val="28"/>
          <w:lang w:val="ru-RU"/>
        </w:rPr>
        <w:t>Управление муниципальными финансами»</w:t>
      </w:r>
    </w:p>
    <w:p>
      <w:pPr>
        <w:pStyle w:val="Normal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tbl>
      <w:tblPr>
        <w:tblW w:w="14685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57"/>
        <w:gridCol w:w="1708"/>
        <w:gridCol w:w="855"/>
        <w:gridCol w:w="1290"/>
        <w:gridCol w:w="1245"/>
        <w:gridCol w:w="3405"/>
        <w:gridCol w:w="2220"/>
        <w:gridCol w:w="1619"/>
        <w:gridCol w:w="1786"/>
      </w:tblGrid>
      <w:tr>
        <w:trPr/>
        <w:tc>
          <w:tcPr>
            <w:tcW w:w="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/>
            </w:pPr>
            <w:bookmarkStart w:id="0" w:name="sub_2100"/>
            <w:r>
              <w:rPr>
                <w:rFonts w:eastAsia="Times New Roman"/>
                <w:kern w:val="0"/>
                <w:lang w:val="ru-RU" w:eastAsia="ru-RU"/>
              </w:rPr>
              <w:t>№</w:t>
            </w:r>
            <w:r>
              <w:rPr>
                <w:rFonts w:eastAsia="Times New Roman"/>
                <w:kern w:val="0"/>
                <w:lang w:val="ru-RU" w:eastAsia="ru-RU"/>
              </w:rPr>
              <w:br/>
              <w:t>п/п</w:t>
            </w:r>
            <w:bookmarkEnd w:id="0"/>
          </w:p>
        </w:tc>
        <w:tc>
          <w:tcPr>
            <w:tcW w:w="1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Наименование целевого показателя</w:t>
            </w:r>
          </w:p>
        </w:tc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ind w:start="-101" w:end="0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Ед. изм. (по ОКЕИ)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/>
            </w:pPr>
            <w:r>
              <w:rPr>
                <w:rFonts w:eastAsia="Times New Roman"/>
                <w:kern w:val="0"/>
                <w:lang w:val="ru-RU" w:eastAsia="ru-RU"/>
              </w:rPr>
              <w:t xml:space="preserve">Характеристика планируемой динамики целевого показателя </w:t>
            </w:r>
            <w:r>
              <w:rPr>
                <w:rFonts w:eastAsia="Times New Roman"/>
                <w:color w:val="106BBE"/>
                <w:kern w:val="0"/>
                <w:lang w:val="ru-RU" w:eastAsia="ru-RU"/>
              </w:rPr>
              <w:t>(1)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Метод расчета</w:t>
            </w:r>
          </w:p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 xml:space="preserve"> </w:t>
            </w:r>
            <w:hyperlink w:anchor="sub_21011">
              <w:r>
                <w:rPr>
                  <w:rStyle w:val="Hyperlink"/>
                  <w:rFonts w:eastAsia="Times New Roman"/>
                  <w:color w:val="106BBE"/>
                  <w:kern w:val="0"/>
                  <w:lang w:val="ru-RU" w:eastAsia="ru-RU"/>
                </w:rPr>
                <w:t>(2)</w:t>
              </w:r>
            </w:hyperlink>
          </w:p>
        </w:tc>
        <w:tc>
          <w:tcPr>
            <w:tcW w:w="34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2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16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Связь с показателем государственной программы и (или) ее структурного элемента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Ответственный за сбор данных и расчет целевого показателя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1</w:t>
            </w:r>
          </w:p>
        </w:tc>
        <w:tc>
          <w:tcPr>
            <w:tcW w:w="1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3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4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5</w:t>
            </w:r>
          </w:p>
        </w:tc>
        <w:tc>
          <w:tcPr>
            <w:tcW w:w="34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6</w:t>
            </w:r>
          </w:p>
        </w:tc>
        <w:tc>
          <w:tcPr>
            <w:tcW w:w="2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7</w:t>
            </w:r>
          </w:p>
        </w:tc>
        <w:tc>
          <w:tcPr>
            <w:tcW w:w="16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8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9</w:t>
            </w:r>
          </w:p>
        </w:tc>
      </w:tr>
      <w:tr>
        <w:trPr/>
        <w:tc>
          <w:tcPr>
            <w:tcW w:w="14685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>
                <w:rFonts w:eastAsia="Times New Roman"/>
                <w:b/>
                <w:bCs/>
                <w:color w:val="26282F"/>
                <w:kern w:val="0"/>
                <w:lang w:val="ru-RU" w:eastAsia="ru-RU"/>
              </w:rPr>
            </w:pPr>
            <w:r>
              <w:rPr>
                <w:rFonts w:eastAsia="Times New Roman"/>
                <w:b/>
                <w:bCs/>
                <w:color w:val="26282F"/>
                <w:kern w:val="0"/>
                <w:lang w:val="ru-RU" w:eastAsia="ru-RU"/>
              </w:rPr>
              <w:t>Целевые показатели муниципальной программы</w:t>
            </w:r>
          </w:p>
        </w:tc>
      </w:tr>
      <w:tr>
        <w:trPr/>
        <w:tc>
          <w:tcPr>
            <w:tcW w:w="55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/>
              </w:rPr>
              <w:t>1.</w:t>
            </w:r>
          </w:p>
        </w:tc>
        <w:tc>
          <w:tcPr>
            <w:tcW w:w="17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Сбалансированность бюджетов поселений муниципального образо-вания Север-ский муници-пальный район Красно-дарского края</w:t>
            </w:r>
          </w:p>
        </w:tc>
        <w:tc>
          <w:tcPr>
            <w:tcW w:w="8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22"/>
              <w:snapToGrid w:val="fals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29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/>
              </w:rPr>
              <w:t>поддержание</w:t>
            </w:r>
          </w:p>
        </w:tc>
        <w:tc>
          <w:tcPr>
            <w:tcW w:w="124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/>
              </w:rPr>
              <w:t>дискретный</w:t>
            </w:r>
          </w:p>
        </w:tc>
        <w:tc>
          <w:tcPr>
            <w:tcW w:w="340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 j = Д*(О j /О), где:</w:t>
            </w:r>
          </w:p>
          <w:p>
            <w:pPr>
              <w:pStyle w:val="Normal"/>
              <w:ind w:end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cs="Times New Roman" w:ascii="Times New Roman" w:hAnsi="Times New Roman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j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 размер дотации j-му поселению;</w:t>
            </w:r>
          </w:p>
          <w:p>
            <w:pPr>
              <w:pStyle w:val="Normal"/>
              <w:ind w:end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Оj - объем средств, необходимый для доведения уровня бюджетной обеспеченности j-го поселения до заданного критерия выравнивания расчетной бюджетной обеспеченности;</w:t>
            </w:r>
          </w:p>
          <w:p>
            <w:pPr>
              <w:pStyle w:val="Normal"/>
              <w:ind w:end="0"/>
              <w:jc w:val="both"/>
              <w:rPr>
                <w:rFonts w:eastAsia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 – объем средств, необходимый для доведения уровня бюджетной обеспечен-ности всех поселе-ний Северского района до задан-ного критерия вырав-нивания расчетной бюджетной обеспе-ченности.</w:t>
            </w:r>
          </w:p>
          <w:p>
            <w:pPr>
              <w:pStyle w:val="Normal"/>
              <w:ind w:end="0"/>
              <w:jc w:val="both"/>
              <w:rPr/>
            </w:pPr>
            <w:r>
              <w:rPr>
                <w:rFonts w:eastAsia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 xml:space="preserve">Распределение иных межбюджетных трансфертов бюджетам городских и сельских поселений, входящих в состав Северский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4"/>
                <w:szCs w:val="24"/>
                <w:shd w:fill="auto" w:val="clear"/>
              </w:rPr>
              <w:t>муници-пальный район Краснодар-ского края</w:t>
            </w:r>
            <w:r>
              <w:rPr>
                <w:sz w:val="24"/>
                <w:szCs w:val="24"/>
                <w:shd w:fill="auto" w:val="clear"/>
              </w:rPr>
              <w:t xml:space="preserve"> из бюджета муниципального образования Северский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4"/>
                <w:szCs w:val="24"/>
                <w:shd w:fill="auto" w:val="clear"/>
              </w:rPr>
              <w:t xml:space="preserve"> муниципальный район Краснодарского края </w:t>
            </w:r>
            <w:r>
              <w:rPr>
                <w:sz w:val="24"/>
                <w:szCs w:val="24"/>
                <w:shd w:fill="auto" w:val="clear"/>
              </w:rPr>
              <w:t xml:space="preserve">  устанавливается решением Совета муниципального обра-зования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4"/>
                <w:szCs w:val="24"/>
                <w:shd w:fill="auto" w:val="clear"/>
              </w:rPr>
              <w:t>Северский муници-пальный район Краснодар-ского края</w:t>
            </w:r>
            <w:r>
              <w:rPr>
                <w:sz w:val="24"/>
                <w:szCs w:val="24"/>
                <w:shd w:fill="auto" w:val="clear"/>
              </w:rPr>
              <w:t xml:space="preserve"> о местном бюджете и (или) постановлением администрации муници-пального образования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4"/>
                <w:szCs w:val="24"/>
                <w:shd w:fill="auto" w:val="clear"/>
              </w:rPr>
              <w:t>Север-ский муниципальный район Краснодарского края</w:t>
            </w:r>
            <w:r>
              <w:rPr>
                <w:sz w:val="24"/>
                <w:szCs w:val="24"/>
                <w:shd w:fill="auto" w:val="clear"/>
              </w:rPr>
              <w:t>.</w:t>
            </w:r>
          </w:p>
        </w:tc>
        <w:tc>
          <w:tcPr>
            <w:tcW w:w="22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/>
              </w:rPr>
              <w:t>Решение Совета муниципального образования Северский район от 22.09.2011 г. №225 «О межбюджетных отношениях в Северском районе»</w:t>
            </w:r>
          </w:p>
        </w:tc>
        <w:tc>
          <w:tcPr>
            <w:tcW w:w="16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Приказ Минфина России от 03.12.2010 №552</w:t>
            </w:r>
          </w:p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>СЦ* - 7</w:t>
            </w:r>
          </w:p>
        </w:tc>
        <w:tc>
          <w:tcPr>
            <w:tcW w:w="178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eastAsia="Times New Roman"/>
                <w:kern w:val="0"/>
                <w:lang w:val="ru-RU" w:eastAsia="ru-RU"/>
              </w:rPr>
            </w:pPr>
            <w:r>
              <w:rPr>
                <w:rFonts w:eastAsia="Times New Roman"/>
                <w:kern w:val="0"/>
                <w:lang w:val="ru-RU" w:eastAsia="ru-RU"/>
              </w:rPr>
              <w:t xml:space="preserve">Финансовое управление </w:t>
            </w:r>
          </w:p>
        </w:tc>
      </w:tr>
      <w:tr>
        <w:trPr/>
        <w:tc>
          <w:tcPr>
            <w:tcW w:w="55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/>
              </w:rPr>
              <w:t>2.</w:t>
            </w:r>
          </w:p>
        </w:tc>
        <w:tc>
          <w:tcPr>
            <w:tcW w:w="17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/>
              </w:rPr>
              <w:t>Доля расходов на обслуживание муниципального долга в общем объеме расходов бюджета (за исключением расходов, осуществляемых за счет субвенций из бюджетов вышестоящих уровней)</w:t>
            </w:r>
          </w:p>
        </w:tc>
        <w:tc>
          <w:tcPr>
            <w:tcW w:w="8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/>
              </w:rPr>
              <w:t>%</w:t>
            </w:r>
          </w:p>
        </w:tc>
        <w:tc>
          <w:tcPr>
            <w:tcW w:w="129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/>
              </w:rPr>
              <w:t>поддержание</w:t>
            </w:r>
          </w:p>
        </w:tc>
        <w:tc>
          <w:tcPr>
            <w:tcW w:w="124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  <w:t>дискретный</w:t>
            </w:r>
          </w:p>
        </w:tc>
        <w:tc>
          <w:tcPr>
            <w:tcW w:w="340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hd w:fill="auto" w:val="clear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  <w:shd w:fill="auto" w:val="clear"/>
              </w:rPr>
              <w:t>К</w:t>
            </w:r>
            <w:r>
              <w:rPr>
                <w:rStyle w:val="Strong"/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2 = (РОбслОбщ / (Р – РСубв)) × 100</w:t>
            </w:r>
          </w:p>
          <w:p>
            <w:pPr>
              <w:pStyle w:val="Normal"/>
              <w:widowControl/>
              <w:spacing w:lineRule="atLeast" w:line="330" w:before="0" w:after="120"/>
              <w:ind w:end="0"/>
              <w:rPr>
                <w:rStyle w:val="Strong"/>
                <w:rFonts w:ascii="Times New Roman" w:hAnsi="Times New Roman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hd w:fill="auto" w:val="clear"/>
              </w:rPr>
              <w:t>Где:</w:t>
            </w:r>
          </w:p>
          <w:p>
            <w:pPr>
              <w:pStyle w:val="BodyText"/>
              <w:widowControl/>
              <w:numPr>
                <w:ilvl w:val="0"/>
                <w:numId w:val="2"/>
              </w:numPr>
              <w:tabs>
                <w:tab w:val="clear" w:pos="706"/>
                <w:tab w:val="left" w:pos="0" w:leader="none"/>
              </w:tabs>
              <w:suppressAutoHyphens w:val="false"/>
              <w:autoSpaceDE w:val="false"/>
              <w:snapToGrid w:val="false"/>
              <w:spacing w:lineRule="atLeast" w:line="330" w:before="0" w:after="0"/>
              <w:ind w:hanging="0" w:start="120" w:end="0"/>
              <w:jc w:val="both"/>
              <w:rPr>
                <w:rStyle w:val="Strong"/>
                <w:rFonts w:ascii="Times New Roman" w:hAnsi="Times New Roman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hd w:fill="auto" w:val="clear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hd w:fill="auto" w:val="clear"/>
              </w:rPr>
              <w:t>К2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hd w:fill="auto" w:val="clear"/>
              </w:rPr>
              <w:t> — искомая доля (в процентах); </w:t>
            </w:r>
          </w:p>
          <w:p>
            <w:pPr>
              <w:pStyle w:val="BodyText"/>
              <w:widowControl/>
              <w:numPr>
                <w:ilvl w:val="0"/>
                <w:numId w:val="2"/>
              </w:numPr>
              <w:tabs>
                <w:tab w:val="clear" w:pos="706"/>
                <w:tab w:val="left" w:pos="0" w:leader="none"/>
              </w:tabs>
              <w:suppressAutoHyphens w:val="false"/>
              <w:autoSpaceDE w:val="false"/>
              <w:snapToGrid w:val="false"/>
              <w:spacing w:lineRule="atLeast" w:line="330" w:before="0" w:after="6"/>
              <w:ind w:hanging="0" w:start="0" w:end="0"/>
              <w:jc w:val="both"/>
              <w:rPr>
                <w:rStyle w:val="Strong"/>
                <w:rFonts w:ascii="Times New Roman" w:hAnsi="Times New Roman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hd w:fill="auto" w:val="clear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hd w:fill="auto" w:val="clear"/>
              </w:rPr>
              <w:t>РОбслОбщ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hd w:fill="auto" w:val="clear"/>
              </w:rPr>
              <w:t> — объём расходов на обслуживание муниципального долга (за год); </w:t>
            </w:r>
          </w:p>
          <w:p>
            <w:pPr>
              <w:pStyle w:val="BodyText"/>
              <w:widowControl/>
              <w:numPr>
                <w:ilvl w:val="0"/>
                <w:numId w:val="2"/>
              </w:numPr>
              <w:tabs>
                <w:tab w:val="clear" w:pos="706"/>
                <w:tab w:val="left" w:pos="0" w:leader="none"/>
              </w:tabs>
              <w:suppressAutoHyphens w:val="false"/>
              <w:autoSpaceDE w:val="false"/>
              <w:snapToGrid w:val="false"/>
              <w:spacing w:lineRule="atLeast" w:line="330" w:before="0" w:after="6"/>
              <w:ind w:hanging="0" w:start="0" w:end="0"/>
              <w:jc w:val="both"/>
              <w:rPr>
                <w:rStyle w:val="Strong"/>
                <w:rFonts w:ascii="Times New Roman" w:hAnsi="Times New Roman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hd w:fill="auto" w:val="clear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hd w:fill="auto" w:val="clear"/>
              </w:rPr>
              <w:t>Р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hd w:fill="auto" w:val="clear"/>
              </w:rPr>
              <w:t> — общий объём расходов бюджета (тоже за тот же период); </w:t>
            </w:r>
          </w:p>
          <w:p>
            <w:pPr>
              <w:pStyle w:val="BodyText"/>
              <w:widowControl/>
              <w:numPr>
                <w:ilvl w:val="0"/>
                <w:numId w:val="2"/>
              </w:numPr>
              <w:tabs>
                <w:tab w:val="clear" w:pos="706"/>
                <w:tab w:val="left" w:pos="0" w:leader="none"/>
              </w:tabs>
              <w:suppressAutoHyphens w:val="false"/>
              <w:autoSpaceDE w:val="false"/>
              <w:snapToGrid w:val="false"/>
              <w:spacing w:lineRule="atLeast" w:line="330" w:before="0" w:after="120"/>
              <w:ind w:hanging="0" w:start="0" w:end="0"/>
              <w:jc w:val="both"/>
              <w:rPr/>
            </w:pPr>
            <w:r>
              <w:rPr>
                <w:rStyle w:val="Strong"/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hd w:fill="auto" w:val="clear"/>
              </w:rPr>
              <w:t>РСубв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hd w:fill="auto" w:val="clear"/>
              </w:rPr>
              <w:t xml:space="preserve"> — объём расходов, которые покрыли за счёт субвенций из вышестоящих бюджетов </w:t>
            </w:r>
          </w:p>
        </w:tc>
        <w:tc>
          <w:tcPr>
            <w:tcW w:w="22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  <w:t>Решение о бюджете</w:t>
            </w:r>
          </w:p>
        </w:tc>
        <w:tc>
          <w:tcPr>
            <w:tcW w:w="16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Соблюдение ограничений, установленных </w:t>
            </w:r>
            <w:r>
              <w:fldChar w:fldCharType="begin"/>
            </w:r>
            <w:r>
              <w:rPr>
                <w:rStyle w:val="Hyperlink"/>
                <w:smallCaps w:val="false"/>
                <w:caps w:val="false"/>
                <w:dstrike w:val="false"/>
                <w:strike w:val="false"/>
                <w:sz w:val="24"/>
                <w:spacing w:val="0"/>
                <w:i w:val="false"/>
                <w:u w:val="none"/>
                <w:b w:val="false"/>
                <w:kern w:val="0"/>
                <w:shd w:fill="auto" w:val="clear"/>
                <w:szCs w:val="24"/>
                <w:rFonts w:eastAsia="Times New Roman" w:cs="Times New Roman" w:ascii="Times New Roman" w:hAnsi="Times New Roman"/>
                <w:color w:val="000000"/>
                <w:lang w:val="ru-RU" w:eastAsia="ru-RU"/>
              </w:rPr>
              <w:instrText xml:space="preserve"> HYPERLINK "https://internet.garant.ru/" \l "/document/12112604/entry/111"</w:instrText>
            </w:r>
            <w:r>
              <w:rPr>
                <w:rStyle w:val="Hyperlink"/>
                <w:smallCaps w:val="false"/>
                <w:caps w:val="false"/>
                <w:dstrike w:val="false"/>
                <w:strike w:val="false"/>
                <w:sz w:val="24"/>
                <w:spacing w:val="0"/>
                <w:i w:val="false"/>
                <w:u w:val="none"/>
                <w:b w:val="false"/>
                <w:kern w:val="0"/>
                <w:shd w:fill="auto" w:val="clear"/>
                <w:szCs w:val="24"/>
                <w:rFonts w:eastAsia="Times New Roman" w:cs="Times New Roman" w:ascii="Times New Roman" w:hAnsi="Times New Roman"/>
                <w:color w:val="000000"/>
                <w:lang w:val="ru-RU" w:eastAsia="ru-RU"/>
              </w:rPr>
              <w:fldChar w:fldCharType="separate"/>
            </w:r>
            <w:bookmarkStart w:id="1" w:name="ext-gen1789"/>
            <w:bookmarkEnd w:id="1"/>
            <w:r>
              <w:rPr>
                <w:rStyle w:val="Hyperlink"/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sz w:val="24"/>
                <w:szCs w:val="24"/>
                <w:u w:val="none"/>
                <w:shd w:fill="auto" w:val="clear"/>
                <w:lang w:val="ru-RU" w:eastAsia="ru-RU"/>
              </w:rPr>
              <w:t>статьёй 111</w:t>
            </w:r>
            <w:r>
              <w:rPr>
                <w:rStyle w:val="Hyperlink"/>
                <w:smallCaps w:val="false"/>
                <w:caps w:val="false"/>
                <w:dstrike w:val="false"/>
                <w:strike w:val="false"/>
                <w:sz w:val="24"/>
                <w:spacing w:val="0"/>
                <w:i w:val="false"/>
                <w:u w:val="none"/>
                <w:b w:val="false"/>
                <w:kern w:val="0"/>
                <w:shd w:fill="auto" w:val="clear"/>
                <w:szCs w:val="24"/>
                <w:rFonts w:eastAsia="Times New Roman" w:cs="Times New Roman" w:ascii="Times New Roman" w:hAnsi="Times New Roman"/>
                <w:color w:val="000000"/>
                <w:lang w:val="ru-RU" w:eastAsia="ru-RU"/>
              </w:rPr>
              <w:fldChar w:fldCharType="end"/>
            </w:r>
            <w:r>
              <w:rPr>
                <w:rFonts w:eastAsia="Times New Roman" w:cs="Times New Roman" w:ascii="Times New Roman" w:hAnsi="Times New Roman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Бюджетного кодекса Российской Федерации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  <w:t xml:space="preserve"> </w:t>
            </w:r>
          </w:p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</w:r>
          </w:p>
        </w:tc>
        <w:tc>
          <w:tcPr>
            <w:tcW w:w="178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  <w:t>Финансовое управление,  А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  <w:t>дминистрация муниципального образования Северский муниципальный район Краснодарского края</w:t>
            </w:r>
          </w:p>
        </w:tc>
      </w:tr>
      <w:tr>
        <w:trPr/>
        <w:tc>
          <w:tcPr>
            <w:tcW w:w="55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/>
              </w:rPr>
              <w:t>3.</w:t>
            </w:r>
          </w:p>
        </w:tc>
        <w:tc>
          <w:tcPr>
            <w:tcW w:w="17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/>
              </w:rPr>
              <w:t>Отношение объема муниципального долга к годовому обьему доходов бюджета без учета утвержденного объема безвозмездных поступлений из бюджетов других уровней бюджетов и поступлений налоговых доходов по дополнительным нормативам отчислений</w:t>
            </w:r>
          </w:p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/>
              </w:rPr>
            </w:r>
          </w:p>
        </w:tc>
        <w:tc>
          <w:tcPr>
            <w:tcW w:w="8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/>
              </w:rPr>
              <w:t>%</w:t>
            </w:r>
          </w:p>
        </w:tc>
        <w:tc>
          <w:tcPr>
            <w:tcW w:w="129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/>
              </w:rPr>
              <w:t>поддержание</w:t>
            </w:r>
          </w:p>
        </w:tc>
        <w:tc>
          <w:tcPr>
            <w:tcW w:w="124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  <w:t>дискретный</w:t>
            </w:r>
          </w:p>
        </w:tc>
        <w:tc>
          <w:tcPr>
            <w:tcW w:w="340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Плановые показатели  P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vertAlign w:val="subscript"/>
                <w:lang w:val="ru-RU" w:eastAsia="ru-RU"/>
              </w:rPr>
              <w:t> pl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 xml:space="preserve"> </w:t>
            </w:r>
          </w:p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r>
          </w:p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bookmarkStart w:id="2" w:name="ext-gen1784_Копия_2"/>
            <w:bookmarkEnd w:id="2"/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ru-RU"/>
              </w:rPr>
              <w:t>P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vertAlign w:val="subscript"/>
                <w:lang w:val="ru-RU" w:eastAsia="ru-RU"/>
              </w:rPr>
              <w:t> pl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ru-RU"/>
              </w:rPr>
              <w:t>=A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vertAlign w:val="subscript"/>
                <w:lang w:val="ru-RU" w:eastAsia="ru-RU"/>
              </w:rPr>
              <w:t>pl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ru-RU"/>
              </w:rPr>
              <w:t>/(B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vertAlign w:val="subscript"/>
                <w:lang w:val="ru-RU" w:eastAsia="ru-RU"/>
              </w:rPr>
              <w:t>pl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ru-RU"/>
              </w:rPr>
              <w:t>-C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vertAlign w:val="subscript"/>
                <w:lang w:val="ru-RU" w:eastAsia="ru-RU"/>
              </w:rPr>
              <w:t>pl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ru-RU"/>
              </w:rPr>
              <w:t>-D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vertAlign w:val="subscript"/>
                <w:lang w:val="ru-RU" w:eastAsia="ru-RU"/>
              </w:rPr>
              <w:t>pl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ru-RU"/>
              </w:rPr>
              <w:t>)*100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 xml:space="preserve">, </w:t>
            </w:r>
          </w:p>
          <w:p>
            <w:pPr>
              <w:pStyle w:val="BodyText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r>
          </w:p>
          <w:p>
            <w:pPr>
              <w:pStyle w:val="BodyText"/>
              <w:widowControl/>
              <w:pBdr/>
              <w:suppressAutoHyphens w:val="false"/>
              <w:autoSpaceDE w:val="false"/>
              <w:snapToGrid w:val="false"/>
              <w:spacing w:before="0" w:after="0"/>
              <w:ind w:end="0"/>
              <w:jc w:val="both"/>
              <w:rPr>
                <w:rFonts w:ascii="Times New Roman" w:hAnsi="Times New Roman" w:eastAsia="Times New Roman" w:cs="Times New Roman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bookmarkStart w:id="3" w:name="p_286403_Копия_2"/>
            <w:bookmarkEnd w:id="3"/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где:</w:t>
            </w:r>
          </w:p>
          <w:p>
            <w:pPr>
              <w:pStyle w:val="BodyText"/>
              <w:widowControl/>
              <w:pBdr/>
              <w:suppressAutoHyphens w:val="false"/>
              <w:autoSpaceDE w:val="false"/>
              <w:snapToGrid w:val="false"/>
              <w:spacing w:before="0" w:after="0"/>
              <w:ind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 </w:t>
            </w:r>
          </w:p>
          <w:p>
            <w:pPr>
              <w:pStyle w:val="BodyText"/>
              <w:widowControl/>
              <w:pBdr/>
              <w:suppressAutoHyphens w:val="false"/>
              <w:autoSpaceDE w:val="false"/>
              <w:snapToGrid w:val="false"/>
              <w:spacing w:before="0" w:after="0"/>
              <w:ind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bookmarkStart w:id="4" w:name="p_779468_Копия_2"/>
            <w:bookmarkEnd w:id="4"/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A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vertAlign w:val="subscript"/>
                <w:lang w:val="ru-RU" w:eastAsia="ru-RU"/>
              </w:rPr>
              <w:t>pl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 - объём муниципального долга, утверждённый решением о местном бюджете по состоянию на 1 января года, следующего за очередным финансовым годом (текущим финансовым годом);</w:t>
            </w:r>
          </w:p>
          <w:p>
            <w:pPr>
              <w:pStyle w:val="BodyText"/>
              <w:widowControl/>
              <w:pBdr/>
              <w:suppressAutoHyphens w:val="false"/>
              <w:autoSpaceDE w:val="false"/>
              <w:snapToGrid w:val="false"/>
              <w:spacing w:before="0" w:after="0"/>
              <w:ind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bookmarkStart w:id="5" w:name="p_779469_Копия_2"/>
            <w:bookmarkEnd w:id="5"/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B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vertAlign w:val="subscript"/>
                <w:lang w:val="ru-RU" w:eastAsia="ru-RU"/>
              </w:rPr>
              <w:t>pl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- общий объём доходов местного бюджета в очередном финансовом году (текущем финансовом году), утверждённый решением о местном бюджете на очередной финансовый год и плановый период;</w:t>
            </w:r>
          </w:p>
          <w:p>
            <w:pPr>
              <w:pStyle w:val="BodyText"/>
              <w:widowControl/>
              <w:pBdr/>
              <w:suppressAutoHyphens w:val="false"/>
              <w:autoSpaceDE w:val="false"/>
              <w:snapToGrid w:val="false"/>
              <w:spacing w:before="0" w:after="0"/>
              <w:ind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ru-RU" w:eastAsia="ru-RU"/>
              </w:rPr>
            </w:pPr>
            <w:bookmarkStart w:id="6" w:name="p_779470_Копия_2"/>
            <w:bookmarkEnd w:id="6"/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C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vertAlign w:val="subscript"/>
                <w:lang w:val="ru-RU" w:eastAsia="ru-RU"/>
              </w:rPr>
              <w:t>pl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 -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 xml:space="preserve"> объём безвозмездных поступлений в очередном финансовом году (текущем финансовом году), утверждённый решением о местном бюджете на очередной финансовый год и плановый период;</w:t>
            </w:r>
          </w:p>
          <w:p>
            <w:pPr>
              <w:pStyle w:val="BodyText"/>
              <w:widowControl/>
              <w:pBdr/>
              <w:suppressAutoHyphens w:val="false"/>
              <w:autoSpaceDE w:val="false"/>
              <w:snapToGrid w:val="false"/>
              <w:spacing w:before="0" w:after="0"/>
              <w:ind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bookmarkStart w:id="7" w:name="p_779471_Копия_2"/>
            <w:bookmarkEnd w:id="7"/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ru-RU" w:eastAsia="ru-RU"/>
              </w:rPr>
              <w:t>D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vertAlign w:val="subscript"/>
                <w:lang w:val="ru-RU" w:eastAsia="ru-RU"/>
              </w:rPr>
              <w:t>pl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- объём поступлений налоговых доходов по дополнительным нормативам отчислений от налога на доходы физических лиц в очередном финансовом году (текущем финансовом году), утверждённый решением о местном бюджете на очередной финансовый год и плановый период.</w:t>
            </w:r>
          </w:p>
          <w:p>
            <w:pPr>
              <w:pStyle w:val="BodyText"/>
              <w:widowControl/>
              <w:pBdr/>
              <w:suppressAutoHyphens w:val="false"/>
              <w:autoSpaceDE w:val="false"/>
              <w:snapToGrid w:val="false"/>
              <w:spacing w:before="0" w:after="0"/>
              <w:ind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r>
          </w:p>
          <w:p>
            <w:pPr>
              <w:pStyle w:val="BodyText"/>
              <w:widowControl/>
              <w:pBdr/>
              <w:suppressAutoHyphens w:val="false"/>
              <w:autoSpaceDE w:val="false"/>
              <w:snapToGrid w:val="false"/>
              <w:spacing w:before="0" w:after="0"/>
              <w:ind w:end="0"/>
              <w:jc w:val="start"/>
              <w:rPr>
                <w:rFonts w:ascii="Times New Roman" w:hAnsi="Times New Roman" w:eastAsia="Times New Roman" w:cs="Times New Roman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Фактические показатели P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vertAlign w:val="subscript"/>
                <w:lang w:val="ru-RU" w:eastAsia="ru-RU"/>
              </w:rPr>
              <w:t>f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 xml:space="preserve">- по итогам отчётного финансового года </w:t>
            </w:r>
          </w:p>
          <w:p>
            <w:pPr>
              <w:pStyle w:val="BodyText"/>
              <w:widowControl/>
              <w:pBdr/>
              <w:suppressAutoHyphens w:val="false"/>
              <w:autoSpaceDE w:val="false"/>
              <w:snapToGrid w:val="false"/>
              <w:spacing w:before="0" w:after="0"/>
              <w:ind w:end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 </w:t>
            </w:r>
          </w:p>
          <w:p>
            <w:pPr>
              <w:pStyle w:val="BodyText"/>
              <w:widowControl/>
              <w:pBdr/>
              <w:suppressAutoHyphens w:val="false"/>
              <w:autoSpaceDE w:val="false"/>
              <w:snapToGrid w:val="false"/>
              <w:spacing w:before="0" w:after="0"/>
              <w:ind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bookmarkStart w:id="8" w:name="p_779472_Копия_2"/>
            <w:bookmarkEnd w:id="8"/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ru-RU"/>
              </w:rPr>
              <w:t>P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vertAlign w:val="subscript"/>
                <w:lang w:val="ru-RU" w:eastAsia="ru-RU"/>
              </w:rPr>
              <w:t>f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ru-RU"/>
              </w:rPr>
              <w:t>=A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vertAlign w:val="subscript"/>
                <w:lang w:val="ru-RU" w:eastAsia="ru-RU"/>
              </w:rPr>
              <w:t>f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ru-RU"/>
              </w:rPr>
              <w:t>/(B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vertAlign w:val="subscript"/>
                <w:lang w:val="en-US" w:eastAsia="ru-RU"/>
              </w:rPr>
              <w:t>f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ru-RU"/>
              </w:rPr>
              <w:t>-C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vertAlign w:val="subscript"/>
                <w:lang w:val="ru-RU" w:eastAsia="ru-RU"/>
              </w:rPr>
              <w:t>f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ru-RU"/>
              </w:rPr>
              <w:t>-D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vertAlign w:val="subscript"/>
                <w:lang w:val="ru-RU" w:eastAsia="ru-RU"/>
              </w:rPr>
              <w:t>f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ru-RU"/>
              </w:rPr>
              <w:t>)*100,</w:t>
            </w:r>
          </w:p>
          <w:p>
            <w:pPr>
              <w:pStyle w:val="BodyText"/>
              <w:widowControl/>
              <w:pBdr/>
              <w:suppressAutoHyphens w:val="false"/>
              <w:autoSpaceDE w:val="false"/>
              <w:snapToGrid w:val="false"/>
              <w:spacing w:before="0" w:after="0"/>
              <w:ind w:end="0"/>
              <w:jc w:val="both"/>
              <w:rPr>
                <w:rFonts w:ascii="Times New Roman" w:hAnsi="Times New Roman" w:eastAsia="Times New Roman" w:cs="Times New Roman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bookmarkStart w:id="9" w:name="p_286409_Копия_2"/>
            <w:bookmarkEnd w:id="9"/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где:</w:t>
            </w:r>
          </w:p>
          <w:p>
            <w:pPr>
              <w:pStyle w:val="BodyText"/>
              <w:widowControl/>
              <w:pBdr/>
              <w:suppressAutoHyphens w:val="false"/>
              <w:autoSpaceDE w:val="false"/>
              <w:snapToGrid w:val="false"/>
              <w:spacing w:before="0" w:after="0"/>
              <w:ind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 </w:t>
            </w:r>
          </w:p>
          <w:p>
            <w:pPr>
              <w:pStyle w:val="BodyText"/>
              <w:widowControl/>
              <w:pBdr/>
              <w:suppressAutoHyphens w:val="false"/>
              <w:autoSpaceDE w:val="false"/>
              <w:snapToGrid w:val="false"/>
              <w:spacing w:before="0" w:after="0"/>
              <w:ind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bookmarkStart w:id="10" w:name="p_779473_Копия_2"/>
            <w:bookmarkEnd w:id="10"/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A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vertAlign w:val="subscript"/>
                <w:lang w:val="en-US" w:eastAsia="ru-RU"/>
              </w:rPr>
              <w:t xml:space="preserve">f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- объём муниципального долга, фактически сложившийся за отчётный финансовый год;</w:t>
            </w:r>
          </w:p>
          <w:p>
            <w:pPr>
              <w:pStyle w:val="BodyText"/>
              <w:widowControl/>
              <w:pBdr/>
              <w:suppressAutoHyphens w:val="false"/>
              <w:autoSpaceDE w:val="false"/>
              <w:snapToGrid w:val="false"/>
              <w:spacing w:before="0" w:after="0"/>
              <w:ind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bookmarkStart w:id="11" w:name="p_779474_Копия_2"/>
            <w:bookmarkEnd w:id="11"/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B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vertAlign w:val="subscript"/>
                <w:lang w:val="en-US" w:eastAsia="ru-RU"/>
              </w:rPr>
              <w:t>f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-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 xml:space="preserve"> общий объём доходов местного бюджета, по данным отчёта об исполнении местного бюджета за отчётный финансовый год;</w:t>
            </w:r>
          </w:p>
          <w:p>
            <w:pPr>
              <w:pStyle w:val="BodyText"/>
              <w:widowControl/>
              <w:pBdr/>
              <w:suppressAutoHyphens w:val="false"/>
              <w:autoSpaceDE w:val="false"/>
              <w:snapToGrid w:val="false"/>
              <w:spacing w:before="0" w:after="0"/>
              <w:ind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bookmarkStart w:id="12" w:name="p_779475_Копия_2"/>
            <w:bookmarkEnd w:id="12"/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C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vertAlign w:val="subscript"/>
                <w:lang w:val="en-US" w:eastAsia="ru-RU"/>
              </w:rPr>
              <w:t>f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vertAlign w:val="subscript"/>
                <w:lang w:val="ru-RU" w:eastAsia="ru-RU"/>
              </w:rPr>
              <w:t>-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 xml:space="preserve"> объём безвозмездных поступлений, по данным отчёта об исполнении местного бюджета за отчётный финансовый год;</w:t>
            </w:r>
          </w:p>
          <w:p>
            <w:pPr>
              <w:pStyle w:val="BodyText"/>
              <w:widowControl/>
              <w:pBdr/>
              <w:suppressAutoHyphens w:val="false"/>
              <w:autoSpaceDE w:val="false"/>
              <w:snapToGrid w:val="false"/>
              <w:spacing w:before="0" w:after="0"/>
              <w:ind w:end="0"/>
              <w:jc w:val="star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bookmarkStart w:id="13" w:name="p_779476_Копия_2"/>
            <w:bookmarkEnd w:id="13"/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D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vertAlign w:val="subscript"/>
                <w:lang w:val="en-US" w:eastAsia="ru-RU"/>
              </w:rPr>
              <w:t>f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>- объём поступлений налоговых доходов по дополнительным нормативам отчислений от налога на доходы физических лиц по данным отчёта об исполнении местного бюджета за отчётный финансовый год</w:t>
            </w:r>
          </w:p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</w:r>
          </w:p>
        </w:tc>
        <w:tc>
          <w:tcPr>
            <w:tcW w:w="22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  <w:t xml:space="preserve">Решение о бюджете </w:t>
            </w:r>
          </w:p>
        </w:tc>
        <w:tc>
          <w:tcPr>
            <w:tcW w:w="16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4"/>
                <w:shd w:fill="auto" w:val="clear"/>
                <w:lang w:val="ru-RU" w:eastAsia="ru-RU"/>
              </w:rPr>
              <w:t>Соблюдение ограничений, установленных пунктом 5</w:t>
            </w:r>
            <w:r>
              <w:fldChar w:fldCharType="begin"/>
            </w:r>
            <w:r>
              <w:rPr>
                <w:rStyle w:val="Hyperlink"/>
                <w:smallCaps w:val="false"/>
                <w:caps w:val="false"/>
                <w:dstrike w:val="false"/>
                <w:strike w:val="false"/>
                <w:sz w:val="26"/>
                <w:spacing w:val="0"/>
                <w:i w:val="false"/>
                <w:u w:val="none"/>
                <w:b w:val="false"/>
                <w:kern w:val="0"/>
                <w:shd w:fill="auto" w:val="clear"/>
                <w:szCs w:val="24"/>
                <w:rFonts w:eastAsia="Times New Roman" w:cs="Times New Roman" w:ascii="Times New Roman" w:hAnsi="Times New Roman"/>
                <w:color w:val="000000"/>
                <w:lang w:val="ru-RU" w:eastAsia="ru-RU"/>
              </w:rPr>
              <w:instrText xml:space="preserve"> HYPERLINK "https://internet.garant.ru/" \l "/document/12112604/entry/1075"</w:instrText>
            </w:r>
            <w:r>
              <w:rPr>
                <w:rStyle w:val="Hyperlink"/>
                <w:smallCaps w:val="false"/>
                <w:caps w:val="false"/>
                <w:dstrike w:val="false"/>
                <w:strike w:val="false"/>
                <w:sz w:val="26"/>
                <w:spacing w:val="0"/>
                <w:i w:val="false"/>
                <w:u w:val="none"/>
                <w:b w:val="false"/>
                <w:kern w:val="0"/>
                <w:shd w:fill="auto" w:val="clear"/>
                <w:szCs w:val="24"/>
                <w:rFonts w:eastAsia="Times New Roman" w:cs="Times New Roman" w:ascii="Times New Roman" w:hAnsi="Times New Roman"/>
                <w:color w:val="000000"/>
                <w:lang w:val="ru-RU" w:eastAsia="ru-RU"/>
              </w:rPr>
              <w:fldChar w:fldCharType="separate"/>
            </w:r>
            <w:r>
              <w:rPr>
                <w:rStyle w:val="Hyperlink"/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sz w:val="26"/>
                <w:szCs w:val="24"/>
                <w:u w:val="none"/>
                <w:shd w:fill="auto" w:val="clear"/>
                <w:lang w:val="ru-RU" w:eastAsia="ru-RU"/>
              </w:rPr>
              <w:t xml:space="preserve"> </w:t>
            </w:r>
            <w:r>
              <w:rPr>
                <w:rStyle w:val="Hyperlink"/>
                <w:smallCaps w:val="false"/>
                <w:caps w:val="false"/>
                <w:dstrike w:val="false"/>
                <w:strike w:val="false"/>
                <w:sz w:val="26"/>
                <w:spacing w:val="0"/>
                <w:i w:val="false"/>
                <w:u w:val="none"/>
                <w:b w:val="false"/>
                <w:kern w:val="0"/>
                <w:shd w:fill="auto" w:val="clear"/>
                <w:szCs w:val="24"/>
                <w:rFonts w:eastAsia="Times New Roman" w:cs="Times New Roman" w:ascii="Times New Roman" w:hAnsi="Times New Roman"/>
                <w:color w:val="000000"/>
                <w:lang w:val="ru-RU" w:eastAsia="ru-RU"/>
              </w:rPr>
              <w:fldChar w:fldCharType="end"/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sz w:val="26"/>
                <w:szCs w:val="24"/>
                <w:u w:val="none"/>
                <w:shd w:fill="auto" w:val="clear"/>
                <w:lang w:val="ru-RU" w:eastAsia="ru-RU"/>
              </w:rPr>
              <w:t xml:space="preserve"> статьи 107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4"/>
                <w:shd w:fill="auto" w:val="clear"/>
                <w:lang w:val="ru-RU" w:eastAsia="ru-RU"/>
              </w:rPr>
              <w:t>Бюджетного кодекса Российской Федерации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  <w:t xml:space="preserve"> </w:t>
            </w:r>
          </w:p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r>
          </w:p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/>
              </w:rPr>
            </w:r>
          </w:p>
        </w:tc>
        <w:tc>
          <w:tcPr>
            <w:tcW w:w="178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  <w:t>Финансовое управление,  А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/>
              </w:rPr>
              <w:t>дминистрация муниципального образования Северский муниципальный район Краснодарского края</w:t>
            </w:r>
          </w:p>
        </w:tc>
      </w:tr>
      <w:tr>
        <w:trPr>
          <w:trHeight w:val="1079" w:hRule="atLeast"/>
        </w:trPr>
        <w:tc>
          <w:tcPr>
            <w:tcW w:w="14685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rPr>
                <w:rFonts w:ascii="Times New Roman" w:hAnsi="Times New Roman" w:eastAsia="Times New Roman" w:cs="Times New Roman"/>
                <w:color w:val="106BBE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bookmarkStart w:id="14" w:name="sub_21011"/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/>
              </w:rPr>
              <w:t>ОКЕИ – общероссийский классификатор единиц измерения.</w:t>
            </w:r>
          </w:p>
          <w:p>
            <w:pPr>
              <w:pStyle w:val="Normal"/>
              <w:widowControl/>
              <w:suppressAutoHyphens w:val="false"/>
              <w:autoSpaceDE w:val="false"/>
              <w:rPr>
                <w:rFonts w:ascii="Times New Roman" w:hAnsi="Times New Roman" w:eastAsia="Times New Roman" w:cs="Times New Roman"/>
                <w:color w:val="106BBE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106BBE"/>
                <w:kern w:val="0"/>
                <w:sz w:val="24"/>
                <w:szCs w:val="24"/>
                <w:shd w:fill="auto" w:val="clear"/>
                <w:lang w:val="ru-RU" w:eastAsia="ru-RU"/>
              </w:rPr>
              <w:t>(1)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/>
              </w:rPr>
              <w:t xml:space="preserve"> Приводится одно из значений: возрастание, убывание, поддержание.</w:t>
            </w:r>
          </w:p>
          <w:p>
            <w:pPr>
              <w:pStyle w:val="Normal"/>
              <w:widowControl/>
              <w:suppressAutoHyphens w:val="false"/>
              <w:autoSpaceDE w:val="fals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106BBE"/>
                <w:kern w:val="0"/>
                <w:sz w:val="24"/>
                <w:szCs w:val="24"/>
                <w:shd w:fill="auto" w:val="clear"/>
                <w:lang w:val="ru-RU" w:eastAsia="ru-RU"/>
              </w:rPr>
              <w:t>(2)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/>
              </w:rPr>
              <w:t xml:space="preserve"> Накопительный итог или дискретный показатель.</w:t>
            </w:r>
            <w:bookmarkEnd w:id="14"/>
          </w:p>
          <w:p>
            <w:pPr>
              <w:pStyle w:val="Normal"/>
              <w:widowControl/>
              <w:suppressAutoHyphens w:val="false"/>
              <w:autoSpaceDE w:val="fals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/>
              </w:rPr>
              <w:t>СЦ -Стратегические цели социально — экономического развития Краснодарского края до 2030 года</w:t>
            </w:r>
          </w:p>
        </w:tc>
      </w:tr>
    </w:tbl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Заместитель </w:t>
      </w:r>
      <w:r>
        <w:rPr>
          <w:sz w:val="28"/>
          <w:szCs w:val="28"/>
          <w:lang w:val="ru-RU"/>
        </w:rPr>
        <w:t>главы администрации</w:t>
      </w:r>
    </w:p>
    <w:p>
      <w:pPr>
        <w:pStyle w:val="Normal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(начальник финансового управления)                                                                                                                         К.В.Леуцкая</w:t>
      </w:r>
    </w:p>
    <w:sectPr>
      <w:headerReference w:type="default" r:id="rId2"/>
      <w:headerReference w:type="first" r:id="rId3"/>
      <w:type w:val="nextPage"/>
      <w:pgSz w:orient="landscape" w:w="16838" w:h="11906"/>
      <w:pgMar w:left="1134" w:right="1245" w:gutter="0" w:header="720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/>
    <w:family w:val="roman"/>
    <w:pitch w:val="default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0" w:characterSet="windows-1252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 w:characterSet="windows-1251"/>
    <w:family w:val="swiss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6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Noto Serif CJK SC" w:cs="Free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Andale Sans UI;Arial Unicode MS" w:cs="Times New Roman"/>
      <w:color w:val="auto"/>
      <w:kern w:val="2"/>
      <w:sz w:val="24"/>
      <w:szCs w:val="24"/>
      <w:lang w:val="zxx" w:eastAsia="zh-CN" w:bidi="ar-SA"/>
    </w:rPr>
  </w:style>
  <w:style w:type="paragraph" w:styleId="Heading1">
    <w:name w:val="heading 1"/>
    <w:basedOn w:val="Normal"/>
    <w:next w:val="Normal"/>
    <w:qFormat/>
    <w:pPr>
      <w:widowControl/>
      <w:numPr>
        <w:ilvl w:val="0"/>
        <w:numId w:val="1"/>
      </w:numPr>
      <w:suppressAutoHyphens w:val="false"/>
      <w:autoSpaceDE w:val="false"/>
      <w:spacing w:before="108" w:after="108"/>
      <w:jc w:val="center"/>
      <w:outlineLvl w:val="0"/>
    </w:pPr>
    <w:rPr>
      <w:rFonts w:ascii="Arial" w:hAnsi="Arial" w:eastAsia="Times New Roman" w:cs="Arial"/>
      <w:b/>
      <w:bCs/>
      <w:color w:val="26282F"/>
      <w:kern w:val="0"/>
      <w:lang w:val="ru-RU"/>
    </w:rPr>
  </w:style>
  <w:style w:type="character" w:styleId="WW8Num2z0">
    <w:name w:val="WW8Num2z0"/>
    <w:qFormat/>
    <w:rPr>
      <w:rFonts w:ascii="Symbol" w:hAnsi="Symbol" w:cs="OpenSymbol;Arial Unicode MS"/>
    </w:rPr>
  </w:style>
  <w:style w:type="character" w:styleId="WW8Num1z0">
    <w:name w:val="WW8Num1z0"/>
    <w:qFormat/>
    <w:rPr>
      <w:rFonts w:ascii="Symbol" w:hAnsi="Symbol" w:cs="OpenSymbol;Arial Unicode MS"/>
    </w:rPr>
  </w:style>
  <w:style w:type="character" w:styleId="Style13">
    <w:name w:val="Основной шрифт абзаца"/>
    <w:qFormat/>
    <w:rPr/>
  </w:style>
  <w:style w:type="character" w:styleId="Style14">
    <w:name w:val="Маркеры списка"/>
    <w:qFormat/>
    <w:rPr>
      <w:rFonts w:ascii="OpenSymbol;Arial Unicode MS" w:hAnsi="OpenSymbol;Arial Unicode MS" w:eastAsia="OpenSymbol;Arial Unicode MS" w:cs="OpenSymbol;Arial Unicode MS"/>
    </w:rPr>
  </w:style>
  <w:style w:type="character" w:styleId="1">
    <w:name w:val="Заголовок 1 Знак"/>
    <w:qFormat/>
    <w:rPr>
      <w:rFonts w:ascii="Arial" w:hAnsi="Arial" w:cs="Arial"/>
      <w:b/>
      <w:bCs/>
      <w:color w:val="26282F"/>
      <w:sz w:val="24"/>
      <w:szCs w:val="24"/>
    </w:rPr>
  </w:style>
  <w:style w:type="character" w:styleId="Style15">
    <w:name w:val="Цветовое выделение"/>
    <w:qFormat/>
    <w:rPr>
      <w:b/>
      <w:bCs/>
      <w:color w:val="26282F"/>
    </w:rPr>
  </w:style>
  <w:style w:type="character" w:styleId="Style16">
    <w:name w:val="Гипертекстовая ссылка"/>
    <w:qFormat/>
    <w:rPr>
      <w:b w:val="false"/>
      <w:bCs w:val="false"/>
      <w:color w:val="106BBE"/>
    </w:rPr>
  </w:style>
  <w:style w:type="character" w:styleId="Style17">
    <w:name w:val="Верхний колонтитул Знак"/>
    <w:qFormat/>
    <w:rPr>
      <w:rFonts w:eastAsia="Andale Sans UI;Arial Unicode MS"/>
      <w:kern w:val="2"/>
      <w:sz w:val="24"/>
      <w:szCs w:val="24"/>
      <w:lang w:val="zxx"/>
    </w:rPr>
  </w:style>
  <w:style w:type="character" w:styleId="Style18">
    <w:name w:val="Нижний колонтитул Знак"/>
    <w:qFormat/>
    <w:rPr>
      <w:rFonts w:eastAsia="Andale Sans UI;Arial Unicode MS"/>
      <w:kern w:val="2"/>
      <w:sz w:val="24"/>
      <w:szCs w:val="24"/>
      <w:lang w:val="zxx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Style19">
    <w:name w:val="Маркеры"/>
    <w:qFormat/>
    <w:rPr>
      <w:rFonts w:ascii="OpenSymbol;Arial Unicode MS" w:hAnsi="OpenSymbol;Arial Unicode MS" w:eastAsia="OpenSymbol;Arial Unicode MS" w:cs="OpenSymbol;Arial Unicode MS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ascii="Arial" w:hAnsi="Arial" w:eastAsia="Andale Sans UI;Arial Unicode MS" w:cs="Tahoma"/>
      <w:sz w:val="28"/>
      <w:szCs w:val="28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Style22">
    <w:name w:val="Содержимое таблицы"/>
    <w:basedOn w:val="Normal"/>
    <w:qFormat/>
    <w:pPr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paragraph" w:styleId="Style24">
    <w:name w:val="Нормальный (таблица)"/>
    <w:basedOn w:val="Normal"/>
    <w:next w:val="Normal"/>
    <w:qFormat/>
    <w:pPr>
      <w:widowControl/>
      <w:suppressAutoHyphens w:val="false"/>
      <w:autoSpaceDE w:val="false"/>
      <w:jc w:val="both"/>
    </w:pPr>
    <w:rPr>
      <w:rFonts w:ascii="Arial" w:hAnsi="Arial" w:eastAsia="Times New Roman" w:cs="Arial"/>
      <w:kern w:val="0"/>
      <w:lang w:val="ru-RU"/>
    </w:rPr>
  </w:style>
  <w:style w:type="paragraph" w:styleId="Style25">
    <w:name w:val="Прижатый влево"/>
    <w:basedOn w:val="Normal"/>
    <w:next w:val="Normal"/>
    <w:qFormat/>
    <w:pPr>
      <w:widowControl/>
      <w:suppressAutoHyphens w:val="false"/>
      <w:autoSpaceDE w:val="false"/>
    </w:pPr>
    <w:rPr>
      <w:rFonts w:ascii="Arial" w:hAnsi="Arial" w:eastAsia="Times New Roman" w:cs="Arial"/>
      <w:kern w:val="0"/>
      <w:lang w:val="ru-RU"/>
    </w:rPr>
  </w:style>
  <w:style w:type="paragraph" w:styleId="Style26">
    <w:name w:val="Колонтитулы"/>
    <w:basedOn w:val="Normal"/>
    <w:qFormat/>
    <w:pPr>
      <w:suppressLineNumbers/>
      <w:tabs>
        <w:tab w:val="clear" w:pos="706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6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6"/>
        <w:tab w:val="center" w:pos="4677" w:leader="none"/>
        <w:tab w:val="right" w:pos="9355" w:leader="none"/>
      </w:tabs>
    </w:pPr>
    <w:rPr/>
  </w:style>
  <w:style w:type="paragraph" w:styleId="Style27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856</TotalTime>
  <Application>LibreOffice/25.2.6.2$Linux_X86_64 LibreOffice_project/520$Build-2</Application>
  <AppVersion>15.0000</AppVersion>
  <Pages>5</Pages>
  <Words>641</Words>
  <Characters>4484</Characters>
  <CharactersWithSpaces>5220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2009-04-16T10:32:00Z</dcterms:created>
  <dc:creator/>
  <dc:description/>
  <dc:language>ru-RU</dc:language>
  <cp:lastModifiedBy/>
  <cp:lastPrinted>2021-12-29T16:30:00Z</cp:lastPrinted>
  <dcterms:modified xsi:type="dcterms:W3CDTF">2026-08-25T15:28:03Z</dcterms:modified>
  <cp:revision>85</cp:revision>
  <dc:subject/>
  <dc:title/>
</cp:coreProperties>
</file>